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E58C" w14:textId="1F3A2956" w:rsidR="00446DFE" w:rsidRPr="004519B2" w:rsidRDefault="004519B2" w:rsidP="004519B2">
      <w:pPr>
        <w:jc w:val="center"/>
        <w:rPr>
          <w:b/>
          <w:bCs/>
          <w:sz w:val="36"/>
          <w:szCs w:val="36"/>
        </w:rPr>
      </w:pPr>
      <w:r w:rsidRPr="004519B2">
        <w:rPr>
          <w:b/>
          <w:bCs/>
          <w:sz w:val="36"/>
          <w:szCs w:val="36"/>
        </w:rPr>
        <w:t xml:space="preserve">Proposed Suggestions on </w:t>
      </w:r>
      <w:r w:rsidRPr="004519B2">
        <w:rPr>
          <w:b/>
          <w:bCs/>
          <w:sz w:val="36"/>
          <w:szCs w:val="36"/>
        </w:rPr>
        <w:t>[Draft] Amendments to IAS 28 Investments in Associates and Joint Ventures</w:t>
      </w:r>
    </w:p>
    <w:p w14:paraId="4DFFEF7D" w14:textId="77777777" w:rsidR="004519B2" w:rsidRDefault="004519B2" w:rsidP="004519B2"/>
    <w:p w14:paraId="29CDDD02" w14:textId="77777777" w:rsidR="004519B2" w:rsidRDefault="004519B2" w:rsidP="004519B2"/>
    <w:p w14:paraId="37CA54E8" w14:textId="0B53E992" w:rsidR="004519B2" w:rsidRDefault="004519B2" w:rsidP="004519B2">
      <w:pPr>
        <w:rPr>
          <w:b/>
          <w:bCs/>
        </w:rPr>
      </w:pPr>
      <w:r w:rsidRPr="004519B2">
        <w:rPr>
          <w:b/>
          <w:bCs/>
        </w:rPr>
        <w:t>Question 1: Proposed Amendments to Paragraphs 18–19 of IAS 28</w:t>
      </w:r>
    </w:p>
    <w:p w14:paraId="462422BE" w14:textId="6BC12F6F" w:rsidR="004519B2" w:rsidRDefault="004519B2" w:rsidP="004519B2">
      <w:pPr>
        <w:rPr>
          <w:b/>
          <w:bCs/>
        </w:rPr>
      </w:pPr>
      <w:r w:rsidRPr="004519B2">
        <w:rPr>
          <w:b/>
          <w:bCs/>
          <w:highlight w:val="yellow"/>
        </w:rPr>
        <w:t>My Personal Suggestion:</w:t>
      </w:r>
    </w:p>
    <w:p w14:paraId="568636DD" w14:textId="77777777" w:rsidR="004519B2" w:rsidRPr="004519B2" w:rsidRDefault="004519B2" w:rsidP="004519B2">
      <w:r w:rsidRPr="004519B2">
        <w:t xml:space="preserve">We </w:t>
      </w:r>
      <w:r w:rsidRPr="004519B2">
        <w:rPr>
          <w:b/>
          <w:bCs/>
        </w:rPr>
        <w:t>agree with the objective</w:t>
      </w:r>
      <w:r w:rsidRPr="004519B2">
        <w:t xml:space="preserve"> of reducing diversity in practice. However, we have the following key concerns:</w:t>
      </w:r>
    </w:p>
    <w:p w14:paraId="75F39273" w14:textId="77777777" w:rsidR="004519B2" w:rsidRPr="004519B2" w:rsidRDefault="004519B2" w:rsidP="004519B2">
      <w:r w:rsidRPr="004519B2">
        <w:pict w14:anchorId="228EACC1">
          <v:rect id="_x0000_i1031" style="width:0;height:1.5pt" o:hralign="center" o:hrstd="t" o:hr="t" fillcolor="#a0a0a0" stroked="f"/>
        </w:pict>
      </w:r>
    </w:p>
    <w:p w14:paraId="1C4641A3" w14:textId="77777777" w:rsidR="004519B2" w:rsidRPr="004519B2" w:rsidRDefault="004519B2" w:rsidP="004519B2">
      <w:pPr>
        <w:rPr>
          <w:b/>
          <w:bCs/>
        </w:rPr>
      </w:pPr>
      <w:r w:rsidRPr="004519B2">
        <w:rPr>
          <w:b/>
          <w:bCs/>
        </w:rPr>
        <w:t>1. Conceptual Inconsistency – Measurement vs Presentation Linkage</w:t>
      </w:r>
    </w:p>
    <w:p w14:paraId="4396F26B" w14:textId="4C3FCE7D" w:rsidR="004519B2" w:rsidRPr="004519B2" w:rsidRDefault="008A0709" w:rsidP="004519B2">
      <w:r>
        <w:t>As per my understanding t</w:t>
      </w:r>
      <w:r w:rsidR="004519B2" w:rsidRPr="004519B2">
        <w:t xml:space="preserve">his creates a </w:t>
      </w:r>
      <w:r w:rsidR="004519B2" w:rsidRPr="004519B2">
        <w:rPr>
          <w:b/>
          <w:bCs/>
        </w:rPr>
        <w:t>conceptual mismatch</w:t>
      </w:r>
      <w:r w:rsidR="004519B2" w:rsidRPr="004519B2">
        <w:t>, because:</w:t>
      </w:r>
    </w:p>
    <w:p w14:paraId="10DEC153" w14:textId="77777777" w:rsidR="004519B2" w:rsidRPr="004519B2" w:rsidRDefault="004519B2" w:rsidP="004519B2">
      <w:pPr>
        <w:numPr>
          <w:ilvl w:val="0"/>
          <w:numId w:val="2"/>
        </w:numPr>
      </w:pPr>
      <w:r w:rsidRPr="004519B2">
        <w:t xml:space="preserve">Measurement basis should be driven by </w:t>
      </w:r>
      <w:r w:rsidRPr="004519B2">
        <w:rPr>
          <w:b/>
          <w:bCs/>
        </w:rPr>
        <w:t>economic characteristics of the investment</w:t>
      </w:r>
      <w:r w:rsidRPr="004519B2">
        <w:t xml:space="preserve">, not by </w:t>
      </w:r>
      <w:r w:rsidRPr="004519B2">
        <w:rPr>
          <w:b/>
          <w:bCs/>
        </w:rPr>
        <w:t>presentation outcomes</w:t>
      </w:r>
      <w:r w:rsidRPr="004519B2">
        <w:t xml:space="preserve">. </w:t>
      </w:r>
    </w:p>
    <w:p w14:paraId="4CAB4772" w14:textId="77777777" w:rsidR="004519B2" w:rsidRPr="004519B2" w:rsidRDefault="004519B2" w:rsidP="004519B2">
      <w:pPr>
        <w:numPr>
          <w:ilvl w:val="0"/>
          <w:numId w:val="2"/>
        </w:numPr>
      </w:pPr>
      <w:r w:rsidRPr="004519B2">
        <w:t xml:space="preserve">IFRS 18 is fundamentally a </w:t>
      </w:r>
      <w:r w:rsidRPr="004519B2">
        <w:rPr>
          <w:b/>
          <w:bCs/>
        </w:rPr>
        <w:t>presentation standard</w:t>
      </w:r>
      <w:r w:rsidRPr="004519B2">
        <w:t xml:space="preserve">, whereas IAS 28 deals with </w:t>
      </w:r>
      <w:r w:rsidRPr="004519B2">
        <w:rPr>
          <w:b/>
          <w:bCs/>
        </w:rPr>
        <w:t>measurement and recognition</w:t>
      </w:r>
      <w:r w:rsidRPr="004519B2">
        <w:t xml:space="preserve">. </w:t>
      </w:r>
    </w:p>
    <w:p w14:paraId="61E0C664" w14:textId="3472D2E8" w:rsidR="004519B2" w:rsidRDefault="004519B2" w:rsidP="004519B2">
      <w:r w:rsidRPr="004519B2">
        <w:t>As noted in the Basis (BC11–BC13), the IASB intentionally avoided a broader reform, but this limited approach results in implicit dependence of measurement on presentation objectives.</w:t>
      </w:r>
    </w:p>
    <w:p w14:paraId="521E3970" w14:textId="77777777" w:rsidR="008A0709" w:rsidRDefault="008A0709" w:rsidP="004519B2"/>
    <w:p w14:paraId="4F445D8D" w14:textId="0E96AF5C" w:rsidR="008A0709" w:rsidRPr="008A0709" w:rsidRDefault="008A0709" w:rsidP="008A0709">
      <w:pPr>
        <w:rPr>
          <w:b/>
          <w:bCs/>
        </w:rPr>
      </w:pPr>
      <w:r>
        <w:rPr>
          <w:b/>
          <w:bCs/>
        </w:rPr>
        <w:t xml:space="preserve">2. </w:t>
      </w:r>
      <w:r w:rsidRPr="008A0709">
        <w:rPr>
          <w:b/>
          <w:bCs/>
        </w:rPr>
        <w:t>Ambiguity in “Main Business Activity of Investing”</w:t>
      </w:r>
    </w:p>
    <w:p w14:paraId="0CC5C8B6" w14:textId="77777777" w:rsidR="008A0709" w:rsidRPr="008A0709" w:rsidRDefault="008A0709" w:rsidP="008A0709">
      <w:r w:rsidRPr="008A0709">
        <w:t>The proposed wording refers to entities:</w:t>
      </w:r>
    </w:p>
    <w:p w14:paraId="1AB1A378" w14:textId="77777777" w:rsidR="008A0709" w:rsidRPr="008A0709" w:rsidRDefault="008A0709" w:rsidP="008A0709">
      <w:r w:rsidRPr="008A0709">
        <w:t>“</w:t>
      </w:r>
      <w:proofErr w:type="gramStart"/>
      <w:r w:rsidRPr="008A0709">
        <w:t>that</w:t>
      </w:r>
      <w:proofErr w:type="gramEnd"/>
      <w:r w:rsidRPr="008A0709">
        <w:t xml:space="preserve"> have a main business activity of investing in particular types of assets” </w:t>
      </w:r>
    </w:p>
    <w:p w14:paraId="2BD8F2A9" w14:textId="77777777" w:rsidR="008A0709" w:rsidRPr="008A0709" w:rsidRDefault="008A0709" w:rsidP="008A0709">
      <w:r w:rsidRPr="008A0709">
        <w:t>However:</w:t>
      </w:r>
    </w:p>
    <w:p w14:paraId="3CE1FC7C" w14:textId="77777777" w:rsidR="008A0709" w:rsidRPr="008A0709" w:rsidRDefault="008A0709" w:rsidP="008A0709">
      <w:pPr>
        <w:numPr>
          <w:ilvl w:val="0"/>
          <w:numId w:val="3"/>
        </w:numPr>
      </w:pPr>
      <w:r w:rsidRPr="008A0709">
        <w:t xml:space="preserve">IFRS 18 itself does not provide </w:t>
      </w:r>
      <w:r w:rsidRPr="008A0709">
        <w:rPr>
          <w:b/>
          <w:bCs/>
        </w:rPr>
        <w:t>bright-line criteria</w:t>
      </w:r>
      <w:r w:rsidRPr="008A0709">
        <w:t xml:space="preserve">. </w:t>
      </w:r>
    </w:p>
    <w:p w14:paraId="449FF8A3" w14:textId="77777777" w:rsidR="008A0709" w:rsidRDefault="008A0709" w:rsidP="008A0709">
      <w:pPr>
        <w:numPr>
          <w:ilvl w:val="0"/>
          <w:numId w:val="3"/>
        </w:numPr>
      </w:pPr>
      <w:r w:rsidRPr="008A0709">
        <w:t xml:space="preserve">This may </w:t>
      </w:r>
      <w:r w:rsidRPr="008A0709">
        <w:rPr>
          <w:b/>
          <w:bCs/>
        </w:rPr>
        <w:t>shift diversity from IAS 28 to IFRS 18 interpretation</w:t>
      </w:r>
      <w:r w:rsidRPr="008A0709">
        <w:t>.</w:t>
      </w:r>
    </w:p>
    <w:p w14:paraId="2C649E35" w14:textId="5BED280D" w:rsidR="008A0709" w:rsidRPr="008A0709" w:rsidRDefault="008A0709" w:rsidP="008A0709">
      <w:pPr>
        <w:rPr>
          <w:b/>
          <w:bCs/>
        </w:rPr>
      </w:pPr>
      <w:r>
        <w:rPr>
          <w:b/>
          <w:bCs/>
        </w:rPr>
        <w:t xml:space="preserve">According to me the </w:t>
      </w:r>
      <w:r w:rsidRPr="008A0709">
        <w:rPr>
          <w:b/>
          <w:bCs/>
        </w:rPr>
        <w:t>Practical Issues</w:t>
      </w:r>
      <w:r>
        <w:rPr>
          <w:b/>
          <w:bCs/>
        </w:rPr>
        <w:t xml:space="preserve"> will be</w:t>
      </w:r>
      <w:r w:rsidRPr="008A0709">
        <w:rPr>
          <w:b/>
          <w:bCs/>
        </w:rPr>
        <w:t>:</w:t>
      </w:r>
    </w:p>
    <w:p w14:paraId="2B161B24" w14:textId="77777777" w:rsidR="008A0709" w:rsidRPr="008A0709" w:rsidRDefault="008A0709" w:rsidP="008A0709">
      <w:pPr>
        <w:numPr>
          <w:ilvl w:val="0"/>
          <w:numId w:val="4"/>
        </w:numPr>
      </w:pPr>
      <w:r w:rsidRPr="008A0709">
        <w:t xml:space="preserve">How to assess “main business activity”? (revenue, assets, internal reporting?) </w:t>
      </w:r>
    </w:p>
    <w:p w14:paraId="0A1BFD49" w14:textId="2467626A" w:rsidR="008A0709" w:rsidRPr="008A0709" w:rsidRDefault="008A0709" w:rsidP="008A0709">
      <w:pPr>
        <w:numPr>
          <w:ilvl w:val="0"/>
          <w:numId w:val="4"/>
        </w:numPr>
      </w:pPr>
      <w:r w:rsidRPr="008A0709">
        <w:t xml:space="preserve">Mixed-activity entities  </w:t>
      </w:r>
    </w:p>
    <w:p w14:paraId="6ED09EC0" w14:textId="77777777" w:rsidR="008A0709" w:rsidRPr="008A0709" w:rsidRDefault="008A0709" w:rsidP="008A0709">
      <w:pPr>
        <w:numPr>
          <w:ilvl w:val="0"/>
          <w:numId w:val="4"/>
        </w:numPr>
      </w:pPr>
      <w:r w:rsidRPr="008A0709">
        <w:t xml:space="preserve">Insurance entities with hybrid portfolios </w:t>
      </w:r>
    </w:p>
    <w:p w14:paraId="546725A8" w14:textId="77777777" w:rsidR="008A0709" w:rsidRPr="008A0709" w:rsidRDefault="008A0709" w:rsidP="008A0709">
      <w:r w:rsidRPr="008A0709">
        <w:rPr>
          <w:b/>
          <w:bCs/>
        </w:rPr>
        <w:lastRenderedPageBreak/>
        <w:t>Recommendation:</w:t>
      </w:r>
    </w:p>
    <w:p w14:paraId="141C8C41" w14:textId="77777777" w:rsidR="008A0709" w:rsidRPr="008A0709" w:rsidRDefault="008A0709" w:rsidP="008A0709">
      <w:pPr>
        <w:numPr>
          <w:ilvl w:val="0"/>
          <w:numId w:val="5"/>
        </w:numPr>
      </w:pPr>
      <w:r w:rsidRPr="008A0709">
        <w:t xml:space="preserve">Provide </w:t>
      </w:r>
      <w:r w:rsidRPr="008A0709">
        <w:rPr>
          <w:b/>
          <w:bCs/>
        </w:rPr>
        <w:t>application guidance or indicators</w:t>
      </w:r>
      <w:r w:rsidRPr="008A0709">
        <w:t xml:space="preserve">, such as: </w:t>
      </w:r>
    </w:p>
    <w:p w14:paraId="263D5482" w14:textId="77777777" w:rsidR="008A0709" w:rsidRPr="008A0709" w:rsidRDefault="008A0709" w:rsidP="008A0709">
      <w:pPr>
        <w:numPr>
          <w:ilvl w:val="1"/>
          <w:numId w:val="5"/>
        </w:numPr>
      </w:pPr>
      <w:r w:rsidRPr="008A0709">
        <w:t xml:space="preserve">proportion of assets invested </w:t>
      </w:r>
    </w:p>
    <w:p w14:paraId="19DFD03A" w14:textId="77777777" w:rsidR="008A0709" w:rsidRPr="008A0709" w:rsidRDefault="008A0709" w:rsidP="008A0709">
      <w:pPr>
        <w:numPr>
          <w:ilvl w:val="1"/>
          <w:numId w:val="5"/>
        </w:numPr>
      </w:pPr>
      <w:r w:rsidRPr="008A0709">
        <w:t xml:space="preserve">revenue composition </w:t>
      </w:r>
    </w:p>
    <w:p w14:paraId="3A44021C" w14:textId="77777777" w:rsidR="008A0709" w:rsidRPr="008A0709" w:rsidRDefault="008A0709" w:rsidP="008A0709">
      <w:pPr>
        <w:numPr>
          <w:ilvl w:val="1"/>
          <w:numId w:val="5"/>
        </w:numPr>
      </w:pPr>
      <w:r w:rsidRPr="008A0709">
        <w:t xml:space="preserve">management intent / internal reporting (CODM view) </w:t>
      </w:r>
    </w:p>
    <w:p w14:paraId="5E11B91F" w14:textId="197D44C7" w:rsidR="008A0709" w:rsidRPr="00E61A90" w:rsidRDefault="008A0709" w:rsidP="008A0709">
      <w:pPr>
        <w:numPr>
          <w:ilvl w:val="0"/>
          <w:numId w:val="5"/>
        </w:numPr>
        <w:rPr>
          <w:b/>
          <w:bCs/>
        </w:rPr>
      </w:pPr>
      <w:r w:rsidRPr="008A0709">
        <w:t>Alternatively,</w:t>
      </w:r>
      <w:r>
        <w:t xml:space="preserve"> we can</w:t>
      </w:r>
      <w:r w:rsidRPr="008A0709">
        <w:t xml:space="preserve"> cross-refer to </w:t>
      </w:r>
      <w:r w:rsidRPr="008A0709">
        <w:rPr>
          <w:b/>
          <w:bCs/>
        </w:rPr>
        <w:t>IFRS 10 investment entity principles</w:t>
      </w:r>
      <w:r w:rsidRPr="008A0709">
        <w:t xml:space="preserve"> for consistency. </w:t>
      </w:r>
    </w:p>
    <w:p w14:paraId="2ADA9FF1" w14:textId="2B01B93A" w:rsidR="00E61A90" w:rsidRDefault="00E61A90" w:rsidP="00E61A90">
      <w:pPr>
        <w:rPr>
          <w:b/>
          <w:bCs/>
        </w:rPr>
      </w:pPr>
      <w:r w:rsidRPr="00E61A90">
        <w:rPr>
          <w:b/>
          <w:bCs/>
        </w:rPr>
        <w:t>Question 2: Effective Date and Transition</w:t>
      </w:r>
    </w:p>
    <w:p w14:paraId="35CFC1FB" w14:textId="77777777" w:rsidR="00E61A90" w:rsidRDefault="00E61A90" w:rsidP="00E61A90">
      <w:pPr>
        <w:rPr>
          <w:b/>
          <w:bCs/>
        </w:rPr>
      </w:pPr>
    </w:p>
    <w:p w14:paraId="5601874B" w14:textId="3227D463" w:rsidR="00E61A90" w:rsidRDefault="000416CD" w:rsidP="00E61A90">
      <w:pPr>
        <w:rPr>
          <w:b/>
          <w:bCs/>
        </w:rPr>
      </w:pPr>
      <w:r>
        <w:rPr>
          <w:b/>
          <w:bCs/>
        </w:rPr>
        <w:t xml:space="preserve">My personal Suggestion on </w:t>
      </w:r>
      <w:r w:rsidR="00E61A90" w:rsidRPr="00E61A90">
        <w:rPr>
          <w:b/>
          <w:bCs/>
        </w:rPr>
        <w:t>Proposed response: Agree.</w:t>
      </w:r>
    </w:p>
    <w:p w14:paraId="72715FF2" w14:textId="204898AD" w:rsidR="000416CD" w:rsidRPr="00E61A90" w:rsidRDefault="000416CD" w:rsidP="00E61A90">
      <w:pPr>
        <w:rPr>
          <w:b/>
          <w:bCs/>
        </w:rPr>
      </w:pPr>
      <w:r>
        <w:rPr>
          <w:b/>
          <w:bCs/>
        </w:rPr>
        <w:t>Additional Comment</w:t>
      </w:r>
    </w:p>
    <w:p w14:paraId="7D4B8847" w14:textId="77777777" w:rsidR="005E4A1E" w:rsidRPr="005E4A1E" w:rsidRDefault="005E4A1E" w:rsidP="005E4A1E">
      <w:r w:rsidRPr="005E4A1E">
        <w:t>We appreciate the IASB’s efforts to address diversity in practice arising from paragraph 18 of IAS 28 and to provide timely clarification ahead of the effective date of IFRS 18. We agree with the proposal in principle, as it is narrowly focused and responsive to a genuine practice issue, particularly in the insurance sector. However, we suggest that the IASB provide further application guidance on the meaning of “similar entities” and the relationship between IAS 28 paragraph 18 and IFRS 18 paragraph 49(a), so that the clarified wording does not create a new source of ambiguity. We also support the proposed effective date and transition approach, since aligning application with IFRS 18 will improve consistency and reduce implementation complexity.</w:t>
      </w:r>
    </w:p>
    <w:p w14:paraId="169DAA69" w14:textId="77777777" w:rsidR="00E61A90" w:rsidRPr="008A0709" w:rsidRDefault="00E61A90" w:rsidP="00E61A90">
      <w:pPr>
        <w:rPr>
          <w:b/>
          <w:bCs/>
        </w:rPr>
      </w:pPr>
    </w:p>
    <w:p w14:paraId="28AA05DB" w14:textId="77777777" w:rsidR="008A0709" w:rsidRPr="008A0709" w:rsidRDefault="008A0709" w:rsidP="008A0709"/>
    <w:p w14:paraId="2B816A90" w14:textId="77777777" w:rsidR="008A0709" w:rsidRPr="004519B2" w:rsidRDefault="008A0709" w:rsidP="004519B2"/>
    <w:p w14:paraId="65F9A608" w14:textId="77777777" w:rsidR="004519B2" w:rsidRPr="004519B2" w:rsidRDefault="004519B2" w:rsidP="004519B2"/>
    <w:sectPr w:rsidR="004519B2" w:rsidRPr="004519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311DF4"/>
    <w:multiLevelType w:val="multilevel"/>
    <w:tmpl w:val="A61C2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F30F93"/>
    <w:multiLevelType w:val="multilevel"/>
    <w:tmpl w:val="7F00C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2D735C"/>
    <w:multiLevelType w:val="multilevel"/>
    <w:tmpl w:val="B720D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99634F"/>
    <w:multiLevelType w:val="multilevel"/>
    <w:tmpl w:val="2F52C9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B257A6C"/>
    <w:multiLevelType w:val="multilevel"/>
    <w:tmpl w:val="A552C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3793805">
    <w:abstractNumId w:val="4"/>
  </w:num>
  <w:num w:numId="2" w16cid:durableId="1455827661">
    <w:abstractNumId w:val="0"/>
  </w:num>
  <w:num w:numId="3" w16cid:durableId="1565875704">
    <w:abstractNumId w:val="2"/>
  </w:num>
  <w:num w:numId="4" w16cid:durableId="496506770">
    <w:abstractNumId w:val="1"/>
  </w:num>
  <w:num w:numId="5" w16cid:durableId="17472612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9B2"/>
    <w:rsid w:val="000416CD"/>
    <w:rsid w:val="00362550"/>
    <w:rsid w:val="00446DFE"/>
    <w:rsid w:val="004519B2"/>
    <w:rsid w:val="005E4A1E"/>
    <w:rsid w:val="006F7928"/>
    <w:rsid w:val="0087146C"/>
    <w:rsid w:val="008A0709"/>
    <w:rsid w:val="00E61A9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2B0F6"/>
  <w15:chartTrackingRefBased/>
  <w15:docId w15:val="{8B6E5BD6-73E8-47FE-B5E4-D62A0E2A1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19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19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19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19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19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19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19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19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19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19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19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19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19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19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19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19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19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19B2"/>
    <w:rPr>
      <w:rFonts w:eastAsiaTheme="majorEastAsia" w:cstheme="majorBidi"/>
      <w:color w:val="272727" w:themeColor="text1" w:themeTint="D8"/>
    </w:rPr>
  </w:style>
  <w:style w:type="paragraph" w:styleId="Title">
    <w:name w:val="Title"/>
    <w:basedOn w:val="Normal"/>
    <w:next w:val="Normal"/>
    <w:link w:val="TitleChar"/>
    <w:uiPriority w:val="10"/>
    <w:qFormat/>
    <w:rsid w:val="004519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19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19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19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19B2"/>
    <w:pPr>
      <w:spacing w:before="160"/>
      <w:jc w:val="center"/>
    </w:pPr>
    <w:rPr>
      <w:i/>
      <w:iCs/>
      <w:color w:val="404040" w:themeColor="text1" w:themeTint="BF"/>
    </w:rPr>
  </w:style>
  <w:style w:type="character" w:customStyle="1" w:styleId="QuoteChar">
    <w:name w:val="Quote Char"/>
    <w:basedOn w:val="DefaultParagraphFont"/>
    <w:link w:val="Quote"/>
    <w:uiPriority w:val="29"/>
    <w:rsid w:val="004519B2"/>
    <w:rPr>
      <w:i/>
      <w:iCs/>
      <w:color w:val="404040" w:themeColor="text1" w:themeTint="BF"/>
    </w:rPr>
  </w:style>
  <w:style w:type="paragraph" w:styleId="ListParagraph">
    <w:name w:val="List Paragraph"/>
    <w:basedOn w:val="Normal"/>
    <w:uiPriority w:val="34"/>
    <w:qFormat/>
    <w:rsid w:val="004519B2"/>
    <w:pPr>
      <w:ind w:left="720"/>
      <w:contextualSpacing/>
    </w:pPr>
  </w:style>
  <w:style w:type="character" w:styleId="IntenseEmphasis">
    <w:name w:val="Intense Emphasis"/>
    <w:basedOn w:val="DefaultParagraphFont"/>
    <w:uiPriority w:val="21"/>
    <w:qFormat/>
    <w:rsid w:val="004519B2"/>
    <w:rPr>
      <w:i/>
      <w:iCs/>
      <w:color w:val="0F4761" w:themeColor="accent1" w:themeShade="BF"/>
    </w:rPr>
  </w:style>
  <w:style w:type="paragraph" w:styleId="IntenseQuote">
    <w:name w:val="Intense Quote"/>
    <w:basedOn w:val="Normal"/>
    <w:next w:val="Normal"/>
    <w:link w:val="IntenseQuoteChar"/>
    <w:uiPriority w:val="30"/>
    <w:qFormat/>
    <w:rsid w:val="004519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19B2"/>
    <w:rPr>
      <w:i/>
      <w:iCs/>
      <w:color w:val="0F4761" w:themeColor="accent1" w:themeShade="BF"/>
    </w:rPr>
  </w:style>
  <w:style w:type="character" w:styleId="IntenseReference">
    <w:name w:val="Intense Reference"/>
    <w:basedOn w:val="DefaultParagraphFont"/>
    <w:uiPriority w:val="32"/>
    <w:qFormat/>
    <w:rsid w:val="004519B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369</Words>
  <Characters>2107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jiten1235@outlook.com</dc:creator>
  <cp:keywords/>
  <dc:description/>
  <cp:lastModifiedBy>jiten1235@outlook.com</cp:lastModifiedBy>
  <cp:revision>2</cp:revision>
  <dcterms:created xsi:type="dcterms:W3CDTF">2026-04-02T13:53:00Z</dcterms:created>
  <dcterms:modified xsi:type="dcterms:W3CDTF">2026-04-02T13:53:00Z</dcterms:modified>
</cp:coreProperties>
</file>